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3799E" w14:textId="77777777" w:rsidR="00BF1B14" w:rsidRPr="00CD3F12" w:rsidRDefault="00BF1B14" w:rsidP="00CA33AD">
      <w:pPr>
        <w:rPr>
          <w:rFonts w:ascii="Poppins" w:hAnsi="Poppins" w:cs="Poppins"/>
          <w:b/>
          <w:bCs/>
          <w:sz w:val="24"/>
          <w:szCs w:val="24"/>
        </w:rPr>
      </w:pPr>
    </w:p>
    <w:p w14:paraId="5527D1A8" w14:textId="2DA53793" w:rsidR="00980C25" w:rsidRPr="00CD3F12" w:rsidRDefault="00980C25" w:rsidP="00980C25">
      <w:pPr>
        <w:jc w:val="right"/>
        <w:rPr>
          <w:rFonts w:ascii="Poppins" w:hAnsi="Poppins" w:cs="Poppins"/>
          <w:sz w:val="20"/>
          <w:szCs w:val="20"/>
        </w:rPr>
      </w:pPr>
      <w:r w:rsidRPr="00CD3F12">
        <w:rPr>
          <w:rFonts w:ascii="Poppins" w:hAnsi="Poppins" w:cs="Poppins"/>
          <w:sz w:val="20"/>
          <w:szCs w:val="20"/>
        </w:rPr>
        <w:t xml:space="preserve">Warszawa, </w:t>
      </w:r>
      <w:r w:rsidR="00BE734D" w:rsidRPr="00CD3F12">
        <w:rPr>
          <w:rFonts w:ascii="Poppins" w:hAnsi="Poppins" w:cs="Poppins"/>
          <w:sz w:val="20"/>
          <w:szCs w:val="20"/>
        </w:rPr>
        <w:t>2</w:t>
      </w:r>
      <w:r w:rsidR="00CD3F12" w:rsidRPr="00CD3F12">
        <w:rPr>
          <w:rFonts w:ascii="Poppins" w:hAnsi="Poppins" w:cs="Poppins"/>
          <w:sz w:val="20"/>
          <w:szCs w:val="20"/>
        </w:rPr>
        <w:t>7</w:t>
      </w:r>
      <w:r w:rsidRPr="00CD3F12">
        <w:rPr>
          <w:rFonts w:ascii="Poppins" w:hAnsi="Poppins" w:cs="Poppins"/>
          <w:sz w:val="20"/>
          <w:szCs w:val="20"/>
        </w:rPr>
        <w:t>.05.2024 r.</w:t>
      </w:r>
    </w:p>
    <w:p w14:paraId="73A30673" w14:textId="337602EA" w:rsidR="00980C25" w:rsidRPr="00CD3F12" w:rsidRDefault="00980C25" w:rsidP="00980C25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  <w:r w:rsidRPr="00CD3F12">
        <w:rPr>
          <w:rFonts w:ascii="Poppins" w:hAnsi="Poppins" w:cs="Poppins"/>
          <w:sz w:val="24"/>
          <w:szCs w:val="24"/>
        </w:rPr>
        <w:t>Autor: Jarosław Jędrzyński</w:t>
      </w:r>
      <w:r w:rsidR="00CD3F12" w:rsidRPr="00CD3F12">
        <w:rPr>
          <w:rFonts w:ascii="Poppins" w:hAnsi="Poppins" w:cs="Poppins"/>
          <w:sz w:val="24"/>
          <w:szCs w:val="24"/>
        </w:rPr>
        <w:t>, ekspert portalu RynekPierwotny.pl</w:t>
      </w:r>
    </w:p>
    <w:p w14:paraId="503B639C" w14:textId="75D14295" w:rsidR="00980C25" w:rsidRPr="00CD3F12" w:rsidRDefault="00D54A80" w:rsidP="00CD3F12">
      <w:pPr>
        <w:spacing w:before="120" w:after="120" w:line="240" w:lineRule="auto"/>
        <w:jc w:val="center"/>
        <w:rPr>
          <w:rFonts w:ascii="Poppins" w:eastAsia="Times New Roman" w:hAnsi="Poppins" w:cs="Poppins"/>
          <w:b/>
          <w:bCs/>
          <w:sz w:val="40"/>
          <w:szCs w:val="40"/>
          <w:lang w:eastAsia="pl-PL"/>
        </w:rPr>
      </w:pPr>
      <w:r w:rsidRPr="00CD3F12">
        <w:rPr>
          <w:rFonts w:ascii="Poppins" w:eastAsia="Times New Roman" w:hAnsi="Poppins" w:cs="Poppins"/>
          <w:b/>
          <w:bCs/>
          <w:sz w:val="40"/>
          <w:szCs w:val="40"/>
          <w:lang w:eastAsia="pl-PL"/>
        </w:rPr>
        <w:t xml:space="preserve">Na rynku materiałów budowlanych </w:t>
      </w:r>
      <w:r w:rsidR="005A5BE8" w:rsidRPr="00CD3F12">
        <w:rPr>
          <w:rFonts w:ascii="Poppins" w:eastAsia="Times New Roman" w:hAnsi="Poppins" w:cs="Poppins"/>
          <w:b/>
          <w:bCs/>
          <w:sz w:val="40"/>
          <w:szCs w:val="40"/>
          <w:lang w:eastAsia="pl-PL"/>
        </w:rPr>
        <w:t>dynamika cen w utrwalonym horyzoncie</w:t>
      </w:r>
    </w:p>
    <w:p w14:paraId="11693F00" w14:textId="147A1BBD" w:rsidR="00980C25" w:rsidRPr="00CD3F12" w:rsidRDefault="005A5BE8" w:rsidP="00CD3F12">
      <w:pPr>
        <w:spacing w:before="120" w:after="120" w:line="240" w:lineRule="auto"/>
        <w:jc w:val="both"/>
        <w:rPr>
          <w:rFonts w:ascii="Poppins" w:eastAsia="Times New Roman" w:hAnsi="Poppins" w:cs="Poppins"/>
          <w:b/>
          <w:bCs/>
          <w:sz w:val="21"/>
          <w:szCs w:val="21"/>
          <w:lang w:eastAsia="pl-PL"/>
        </w:rPr>
      </w:pPr>
      <w:r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Coraz silniej utrwalona </w:t>
      </w:r>
      <w:r w:rsidR="00980C25"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stabilizacja dynamiki cen materiałów budowlanych na niewielkim minusie </w:t>
      </w:r>
      <w:r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potwierdziła swoją moc także w najnowszej analizie Grupy PSB z danymi za kwiecień</w:t>
      </w:r>
      <w:r w:rsidR="00980C25"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. </w:t>
      </w:r>
      <w:r w:rsidR="0084394C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Jak zauważają eksperci portalu RynekPierwotny.pl w</w:t>
      </w:r>
      <w:r w:rsidR="00980C25"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</w:t>
      </w:r>
      <w:r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ubiegłym miesiącu</w:t>
      </w:r>
      <w:r w:rsidR="00980C25"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spadkowy trend </w:t>
      </w:r>
      <w:r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na poziomie ułamka procenta w relacji rok do roku został utrzymany.</w:t>
      </w:r>
      <w:r w:rsidR="00980C25"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</w:t>
      </w:r>
      <w:r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W tej sytuacji przewidywanie jakichkolwiek znaczących zmian średniej stawek materiałów budowlanych wydaje się coraz trudniejsze.</w:t>
      </w:r>
    </w:p>
    <w:p w14:paraId="0DA2A8FD" w14:textId="6FB60D97" w:rsidR="00980C25" w:rsidRPr="00CD3F12" w:rsidRDefault="00980C25" w:rsidP="00CD3F12">
      <w:pPr>
        <w:spacing w:before="120" w:after="120" w:line="240" w:lineRule="auto"/>
        <w:jc w:val="both"/>
        <w:rPr>
          <w:rFonts w:ascii="Poppins" w:eastAsia="Times New Roman" w:hAnsi="Poppins" w:cs="Poppins"/>
          <w:sz w:val="21"/>
          <w:szCs w:val="21"/>
          <w:lang w:eastAsia="pl-PL"/>
        </w:rPr>
      </w:pPr>
      <w:r w:rsidRPr="00CD3F12">
        <w:rPr>
          <w:rFonts w:ascii="Poppins" w:eastAsia="Times New Roman" w:hAnsi="Poppins" w:cs="Poppins"/>
          <w:sz w:val="21"/>
          <w:szCs w:val="21"/>
          <w:lang w:eastAsia="pl-PL"/>
        </w:rPr>
        <w:t xml:space="preserve">Publikowana przez Grupę PSB średnia dynamika cen materiałów budowlanych w relacji rok do roku w </w:t>
      </w:r>
      <w:r w:rsidR="005A5BE8" w:rsidRPr="00CD3F12">
        <w:rPr>
          <w:rFonts w:ascii="Poppins" w:eastAsia="Times New Roman" w:hAnsi="Poppins" w:cs="Poppins"/>
          <w:sz w:val="21"/>
          <w:szCs w:val="21"/>
          <w:lang w:eastAsia="pl-PL"/>
        </w:rPr>
        <w:t>kwietniu</w:t>
      </w:r>
      <w:r w:rsidRPr="00CD3F12">
        <w:rPr>
          <w:rFonts w:ascii="Poppins" w:eastAsia="Times New Roman" w:hAnsi="Poppins" w:cs="Poppins"/>
          <w:sz w:val="21"/>
          <w:szCs w:val="21"/>
          <w:lang w:eastAsia="pl-PL"/>
        </w:rPr>
        <w:t xml:space="preserve"> zanotowała kolejny raz wartość ujemną, tym razem na poziomie -</w:t>
      </w:r>
      <w:r w:rsidR="005A5BE8" w:rsidRPr="00CD3F12">
        <w:rPr>
          <w:rFonts w:ascii="Poppins" w:eastAsia="Times New Roman" w:hAnsi="Poppins" w:cs="Poppins"/>
          <w:sz w:val="21"/>
          <w:szCs w:val="21"/>
          <w:lang w:eastAsia="pl-PL"/>
        </w:rPr>
        <w:t>0,6</w:t>
      </w:r>
      <w:r w:rsidRPr="00CD3F12">
        <w:rPr>
          <w:rFonts w:ascii="Poppins" w:eastAsia="Times New Roman" w:hAnsi="Poppins" w:cs="Poppins"/>
          <w:sz w:val="21"/>
          <w:szCs w:val="21"/>
          <w:lang w:eastAsia="pl-PL"/>
        </w:rPr>
        <w:t xml:space="preserve">%. W kanale detalicznym spadek wyniósł </w:t>
      </w:r>
      <w:r w:rsidR="005A5BE8" w:rsidRPr="00CD3F12">
        <w:rPr>
          <w:rFonts w:ascii="Poppins" w:eastAsia="Times New Roman" w:hAnsi="Poppins" w:cs="Poppins"/>
          <w:sz w:val="21"/>
          <w:szCs w:val="21"/>
          <w:lang w:eastAsia="pl-PL"/>
        </w:rPr>
        <w:t>0,5</w:t>
      </w:r>
      <w:r w:rsidRPr="00CD3F12">
        <w:rPr>
          <w:rFonts w:ascii="Poppins" w:eastAsia="Times New Roman" w:hAnsi="Poppins" w:cs="Poppins"/>
          <w:sz w:val="21"/>
          <w:szCs w:val="21"/>
          <w:lang w:eastAsia="pl-PL"/>
        </w:rPr>
        <w:t xml:space="preserve">%, z kolei w kanale hurtowym o </w:t>
      </w:r>
      <w:r w:rsidR="005A5BE8" w:rsidRPr="00CD3F12">
        <w:rPr>
          <w:rFonts w:ascii="Poppins" w:eastAsia="Times New Roman" w:hAnsi="Poppins" w:cs="Poppins"/>
          <w:sz w:val="21"/>
          <w:szCs w:val="21"/>
          <w:lang w:eastAsia="pl-PL"/>
        </w:rPr>
        <w:t>0,6</w:t>
      </w:r>
      <w:r w:rsidRPr="00CD3F12">
        <w:rPr>
          <w:rFonts w:ascii="Poppins" w:eastAsia="Times New Roman" w:hAnsi="Poppins" w:cs="Poppins"/>
          <w:sz w:val="21"/>
          <w:szCs w:val="21"/>
          <w:lang w:eastAsia="pl-PL"/>
        </w:rPr>
        <w:t xml:space="preserve">%. </w:t>
      </w:r>
    </w:p>
    <w:p w14:paraId="3439980D" w14:textId="77777777" w:rsidR="00980C25" w:rsidRPr="00CD3F12" w:rsidRDefault="00980C25" w:rsidP="00CD3F12">
      <w:pPr>
        <w:spacing w:before="120" w:after="120" w:line="240" w:lineRule="auto"/>
        <w:jc w:val="both"/>
        <w:rPr>
          <w:rFonts w:ascii="Poppins" w:eastAsia="Times New Roman" w:hAnsi="Poppins" w:cs="Poppins"/>
          <w:sz w:val="21"/>
          <w:szCs w:val="21"/>
          <w:lang w:eastAsia="pl-PL"/>
        </w:rPr>
      </w:pPr>
    </w:p>
    <w:p w14:paraId="208AEFA9" w14:textId="437BDCA1" w:rsidR="00980C25" w:rsidRPr="00CD3F12" w:rsidRDefault="0084394C" w:rsidP="00CD3F12">
      <w:pPr>
        <w:spacing w:before="120" w:after="120" w:line="240" w:lineRule="auto"/>
        <w:jc w:val="both"/>
        <w:rPr>
          <w:rFonts w:ascii="Poppins" w:eastAsia="Times New Roman" w:hAnsi="Poppins" w:cs="Poppins"/>
          <w:sz w:val="21"/>
          <w:szCs w:val="21"/>
          <w:lang w:eastAsia="pl-PL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765B5614" wp14:editId="4AE80E5D">
            <wp:extent cx="6629400" cy="4373880"/>
            <wp:effectExtent l="0" t="0" r="0" b="7620"/>
            <wp:docPr id="8515702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C0A72" w14:textId="77777777" w:rsidR="00980C25" w:rsidRPr="00CD3F12" w:rsidRDefault="00980C25" w:rsidP="00CD3F12">
      <w:pPr>
        <w:spacing w:before="120" w:after="120" w:line="240" w:lineRule="auto"/>
        <w:contextualSpacing/>
        <w:jc w:val="both"/>
        <w:rPr>
          <w:rFonts w:ascii="Poppins" w:eastAsia="Times New Roman" w:hAnsi="Poppins" w:cs="Poppins"/>
          <w:b/>
          <w:bCs/>
          <w:sz w:val="21"/>
          <w:szCs w:val="21"/>
          <w:lang w:eastAsia="pl-PL"/>
        </w:rPr>
      </w:pPr>
      <w:r w:rsidRPr="00CD3F1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                                                 </w:t>
      </w:r>
    </w:p>
    <w:p w14:paraId="284033C2" w14:textId="6E2244C2" w:rsidR="009325A0" w:rsidRPr="00CD3F12" w:rsidRDefault="009325A0" w:rsidP="00CD3F12">
      <w:pPr>
        <w:spacing w:after="0" w:line="240" w:lineRule="auto"/>
        <w:jc w:val="both"/>
        <w:rPr>
          <w:rFonts w:ascii="Poppins" w:hAnsi="Poppins" w:cs="Poppins"/>
          <w:color w:val="333333"/>
          <w:sz w:val="21"/>
          <w:szCs w:val="21"/>
          <w:shd w:val="clear" w:color="auto" w:fill="FFFFFF"/>
        </w:rPr>
      </w:pPr>
      <w:r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lastRenderedPageBreak/>
        <w:t>Wzrost cen</w:t>
      </w:r>
      <w:r w:rsidR="00CD3F12"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w</w:t>
      </w:r>
      <w:r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kwietniu 2025 r. w porównaniu do kwietnia 2024 r. odnotowano w 5 grupach towarowych, bez zmian</w:t>
      </w:r>
      <w:r w:rsidRPr="00CD3F12">
        <w:rPr>
          <w:rFonts w:ascii="Poppins" w:hAnsi="Poppins" w:cs="Poppins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pozostały ceny w 4 kategoriach, natomiast spadki wystąpiły w 1</w:t>
      </w:r>
      <w:r w:rsidR="00CD3F12"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1</w:t>
      </w:r>
      <w:r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grupach.</w:t>
      </w:r>
    </w:p>
    <w:p w14:paraId="67893721" w14:textId="77777777" w:rsidR="009325A0" w:rsidRPr="00CD3F12" w:rsidRDefault="009325A0" w:rsidP="00CD3F12">
      <w:pPr>
        <w:spacing w:after="0" w:line="240" w:lineRule="auto"/>
        <w:jc w:val="both"/>
        <w:rPr>
          <w:rFonts w:ascii="Poppins" w:hAnsi="Poppins" w:cs="Poppins"/>
          <w:color w:val="333333"/>
          <w:sz w:val="21"/>
          <w:szCs w:val="21"/>
          <w:shd w:val="clear" w:color="auto" w:fill="FFFFFF"/>
        </w:rPr>
      </w:pPr>
    </w:p>
    <w:p w14:paraId="484E0F37" w14:textId="515A9795" w:rsidR="00980C25" w:rsidRPr="00CD3F12" w:rsidRDefault="009325A0" w:rsidP="00CD3F12">
      <w:pPr>
        <w:spacing w:after="0" w:line="240" w:lineRule="auto"/>
        <w:jc w:val="both"/>
        <w:rPr>
          <w:rFonts w:ascii="Poppins" w:hAnsi="Poppins" w:cs="Poppins"/>
          <w:color w:val="333333"/>
          <w:sz w:val="21"/>
          <w:szCs w:val="21"/>
          <w:shd w:val="clear" w:color="auto" w:fill="FFFFFF"/>
        </w:rPr>
      </w:pPr>
      <w:r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Największy spadek cen wystąpił w przypadku</w:t>
      </w:r>
      <w:r w:rsidRPr="00CD3F12">
        <w:rPr>
          <w:rFonts w:ascii="Poppins" w:hAnsi="Poppins" w:cs="Poppins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CD3F12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izolacji termicznych (-6%) oraz wykończeń, suchej zabudowy, izolacji wodochronnych i oświetlenia, elektryki (po -3%). Z kolei największe podwyżki dotyczyły kategorii: płyty OSB, drewno (+8%) oraz otoczenie domu (+4%). </w:t>
      </w:r>
    </w:p>
    <w:p w14:paraId="03BB3FCC" w14:textId="77777777" w:rsidR="00980C25" w:rsidRPr="00CD3F12" w:rsidRDefault="00980C25" w:rsidP="00CD3F12">
      <w:pPr>
        <w:contextualSpacing/>
        <w:jc w:val="both"/>
        <w:rPr>
          <w:rFonts w:ascii="Poppins" w:hAnsi="Poppins" w:cs="Poppins"/>
          <w:sz w:val="21"/>
          <w:szCs w:val="21"/>
        </w:rPr>
      </w:pPr>
    </w:p>
    <w:p w14:paraId="5DAFA846" w14:textId="77777777" w:rsidR="00A135FE" w:rsidRPr="00CD3F12" w:rsidRDefault="00545611" w:rsidP="00CD3F1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D3F12">
        <w:rPr>
          <w:rFonts w:ascii="Poppins" w:hAnsi="Poppins" w:cs="Poppins"/>
          <w:sz w:val="21"/>
          <w:szCs w:val="21"/>
        </w:rPr>
        <w:t>W obecnej sytuacji wszystko zdaje się wskazywać na to, że dopóki zapowiadany szumnie</w:t>
      </w:r>
      <w:r w:rsidR="00EE5EF2" w:rsidRPr="00CD3F12">
        <w:rPr>
          <w:rFonts w:ascii="Poppins" w:hAnsi="Poppins" w:cs="Poppins"/>
          <w:sz w:val="21"/>
          <w:szCs w:val="21"/>
        </w:rPr>
        <w:t xml:space="preserve"> boom inwestycyjny w ramach krajowej gospodarki w segmentach budownictwa drogowego, kolejowego, energetycznego, wojskowego czy </w:t>
      </w:r>
      <w:r w:rsidR="000F7670" w:rsidRPr="00CD3F12">
        <w:rPr>
          <w:rFonts w:ascii="Poppins" w:hAnsi="Poppins" w:cs="Poppins"/>
          <w:sz w:val="21"/>
          <w:szCs w:val="21"/>
        </w:rPr>
        <w:t xml:space="preserve">nieco później </w:t>
      </w:r>
      <w:r w:rsidR="00EE5EF2" w:rsidRPr="00CD3F12">
        <w:rPr>
          <w:rFonts w:ascii="Poppins" w:hAnsi="Poppins" w:cs="Poppins"/>
          <w:sz w:val="21"/>
          <w:szCs w:val="21"/>
        </w:rPr>
        <w:t xml:space="preserve">nawet mieszkaniowego </w:t>
      </w:r>
      <w:r w:rsidRPr="00CD3F12">
        <w:rPr>
          <w:rFonts w:ascii="Poppins" w:hAnsi="Poppins" w:cs="Poppins"/>
          <w:sz w:val="21"/>
          <w:szCs w:val="21"/>
        </w:rPr>
        <w:t xml:space="preserve">nie stanie się faktem dokonanym, tak długo ceny na rodzimym rynku materiałów budowlanych pozostaną stabilne z </w:t>
      </w:r>
      <w:r w:rsidR="00A135FE" w:rsidRPr="00CD3F12">
        <w:rPr>
          <w:rFonts w:ascii="Poppins" w:hAnsi="Poppins" w:cs="Poppins"/>
          <w:sz w:val="21"/>
          <w:szCs w:val="21"/>
        </w:rPr>
        <w:t>lekką tendencją spadkową.</w:t>
      </w:r>
    </w:p>
    <w:p w14:paraId="7D781862" w14:textId="7457BA00" w:rsidR="00545611" w:rsidRPr="00CD3F12" w:rsidRDefault="00F97168" w:rsidP="00CD3F1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D3F12">
        <w:rPr>
          <w:rFonts w:ascii="Poppins" w:hAnsi="Poppins" w:cs="Poppins"/>
          <w:sz w:val="21"/>
          <w:szCs w:val="21"/>
        </w:rPr>
        <w:t>Tymczasem</w:t>
      </w:r>
      <w:r w:rsidR="0084394C">
        <w:rPr>
          <w:rFonts w:ascii="Poppins" w:hAnsi="Poppins" w:cs="Poppins"/>
          <w:sz w:val="21"/>
          <w:szCs w:val="21"/>
        </w:rPr>
        <w:t xml:space="preserve">, jak zauważają eksperci portalu </w:t>
      </w:r>
      <w:hyperlink r:id="rId9" w:history="1">
        <w:r w:rsidR="0084394C" w:rsidRPr="0084394C">
          <w:rPr>
            <w:rStyle w:val="Hipercze"/>
            <w:rFonts w:ascii="Poppins" w:hAnsi="Poppins" w:cs="Poppins"/>
            <w:sz w:val="21"/>
            <w:szCs w:val="21"/>
          </w:rPr>
          <w:t>RynekPierwotny.pl</w:t>
        </w:r>
      </w:hyperlink>
      <w:r w:rsidR="0084394C">
        <w:rPr>
          <w:rFonts w:ascii="Poppins" w:hAnsi="Poppins" w:cs="Poppins"/>
          <w:sz w:val="21"/>
          <w:szCs w:val="21"/>
        </w:rPr>
        <w:t>,</w:t>
      </w:r>
      <w:r w:rsidRPr="00CD3F12">
        <w:rPr>
          <w:rFonts w:ascii="Poppins" w:hAnsi="Poppins" w:cs="Poppins"/>
          <w:sz w:val="21"/>
          <w:szCs w:val="21"/>
        </w:rPr>
        <w:t xml:space="preserve"> najnowsze dane GUS budownictwa mieszkaniowego w kwietniu ponownie potwierdziły słabni</w:t>
      </w:r>
      <w:r w:rsidR="00CD3F12" w:rsidRPr="00CD3F12">
        <w:rPr>
          <w:rFonts w:ascii="Poppins" w:hAnsi="Poppins" w:cs="Poppins"/>
          <w:sz w:val="21"/>
          <w:szCs w:val="21"/>
        </w:rPr>
        <w:t>ę</w:t>
      </w:r>
      <w:r w:rsidRPr="00CD3F12">
        <w:rPr>
          <w:rFonts w:ascii="Poppins" w:hAnsi="Poppins" w:cs="Poppins"/>
          <w:sz w:val="21"/>
          <w:szCs w:val="21"/>
        </w:rPr>
        <w:t>cie koniunktury inwestycyjnej pierwotnego rynku mieszkaniowego. O ile inwestorzy indywidualni pozostają relatywnie aktywni na budowach domów jednorodzinnych, to deweloperzy dość wyraźnie ograniczają wolumeny nowych inwestycji, natomiast wynik nowych pozwoleń deweloperskich w kwietniu osiągnął jeden z najniższych historycznie poziomów. Tego typu sytuacja nie najlepiej wróży popytowi na materiały budowlane w przewidywalnej przyszłości ze strony budownictwa mieszkaniowego.</w:t>
      </w:r>
    </w:p>
    <w:p w14:paraId="14DC197D" w14:textId="41E9F202" w:rsidR="00F97168" w:rsidRPr="00CD3F12" w:rsidRDefault="00F97168" w:rsidP="00CD3F1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D3F12">
        <w:rPr>
          <w:rFonts w:ascii="Poppins" w:hAnsi="Poppins" w:cs="Poppins"/>
          <w:sz w:val="21"/>
          <w:szCs w:val="21"/>
        </w:rPr>
        <w:t xml:space="preserve">Do tego dochodzą aktualne wciąż czynniki ograniczające presję cenową na materiały budowlane, czyli wciąż mocny złoty, relatywnie niski poziom </w:t>
      </w:r>
      <w:r w:rsidR="003E3911" w:rsidRPr="00CD3F12">
        <w:rPr>
          <w:rFonts w:ascii="Poppins" w:hAnsi="Poppins" w:cs="Poppins"/>
          <w:sz w:val="21"/>
          <w:szCs w:val="21"/>
        </w:rPr>
        <w:t xml:space="preserve">wycen surowców, zwłaszcza energetycznych na światowych giełdach, i w końcu nie mająca końca </w:t>
      </w:r>
      <w:r w:rsidR="004C322E" w:rsidRPr="00CD3F12">
        <w:rPr>
          <w:rFonts w:ascii="Poppins" w:hAnsi="Poppins" w:cs="Poppins"/>
          <w:sz w:val="21"/>
          <w:szCs w:val="21"/>
        </w:rPr>
        <w:t xml:space="preserve">niepewna i napięta </w:t>
      </w:r>
      <w:r w:rsidR="003E3911" w:rsidRPr="00CD3F12">
        <w:rPr>
          <w:rFonts w:ascii="Poppins" w:hAnsi="Poppins" w:cs="Poppins"/>
          <w:sz w:val="21"/>
          <w:szCs w:val="21"/>
        </w:rPr>
        <w:t>sytuacja geopolityczna.</w:t>
      </w:r>
      <w:r w:rsidR="00B46237" w:rsidRPr="00CD3F12">
        <w:rPr>
          <w:rFonts w:ascii="Poppins" w:hAnsi="Poppins" w:cs="Poppins"/>
          <w:sz w:val="21"/>
          <w:szCs w:val="21"/>
        </w:rPr>
        <w:t xml:space="preserve"> </w:t>
      </w:r>
    </w:p>
    <w:p w14:paraId="7DAAE141" w14:textId="3596930B" w:rsidR="00B46237" w:rsidRPr="00CD3F12" w:rsidRDefault="00B46237" w:rsidP="00CD3F1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D3F12">
        <w:rPr>
          <w:rFonts w:ascii="Poppins" w:hAnsi="Poppins" w:cs="Poppins"/>
          <w:sz w:val="21"/>
          <w:szCs w:val="21"/>
        </w:rPr>
        <w:t xml:space="preserve">A ta ostatnia ponownie dała o sobie znać przez zapowiedź prezydenta Trumpa o zamiarze nałożenia 50-proc. cła na produkty pochodzące z UE. Polski eksport materiałów budowlanych do USA może nie jest </w:t>
      </w:r>
      <w:r w:rsidR="00AA6DB4" w:rsidRPr="00CD3F12">
        <w:rPr>
          <w:rFonts w:ascii="Poppins" w:hAnsi="Poppins" w:cs="Poppins"/>
          <w:sz w:val="21"/>
          <w:szCs w:val="21"/>
        </w:rPr>
        <w:t xml:space="preserve">specjalnie </w:t>
      </w:r>
      <w:r w:rsidRPr="00CD3F12">
        <w:rPr>
          <w:rFonts w:ascii="Poppins" w:hAnsi="Poppins" w:cs="Poppins"/>
          <w:sz w:val="21"/>
          <w:szCs w:val="21"/>
        </w:rPr>
        <w:t>imponujący, ani tym bardziej decydujący dla rodzimych producentów, jednak w ostatnich latach bardzo dynamicznie rośnie</w:t>
      </w:r>
      <w:r w:rsidR="00AA6DB4" w:rsidRPr="00CD3F12">
        <w:rPr>
          <w:rFonts w:ascii="Poppins" w:hAnsi="Poppins" w:cs="Poppins"/>
          <w:sz w:val="21"/>
          <w:szCs w:val="21"/>
        </w:rPr>
        <w:t xml:space="preserve"> </w:t>
      </w:r>
      <w:r w:rsidRPr="00CD3F12">
        <w:rPr>
          <w:rFonts w:ascii="Poppins" w:hAnsi="Poppins" w:cs="Poppins"/>
          <w:sz w:val="21"/>
          <w:szCs w:val="21"/>
        </w:rPr>
        <w:t>eksport</w:t>
      </w:r>
      <w:r w:rsidR="007D1C5B" w:rsidRPr="00CD3F12">
        <w:rPr>
          <w:rFonts w:ascii="Poppins" w:hAnsi="Poppins" w:cs="Poppins"/>
          <w:sz w:val="21"/>
          <w:szCs w:val="21"/>
        </w:rPr>
        <w:t xml:space="preserve"> na rynek amerykański</w:t>
      </w:r>
      <w:r w:rsidRPr="00CD3F12">
        <w:rPr>
          <w:rFonts w:ascii="Poppins" w:hAnsi="Poppins" w:cs="Poppins"/>
          <w:sz w:val="21"/>
          <w:szCs w:val="21"/>
        </w:rPr>
        <w:t xml:space="preserve"> w </w:t>
      </w:r>
      <w:r w:rsidR="00AA6DB4" w:rsidRPr="00CD3F12">
        <w:rPr>
          <w:rFonts w:ascii="Poppins" w:hAnsi="Poppins" w:cs="Poppins"/>
          <w:sz w:val="21"/>
          <w:szCs w:val="21"/>
        </w:rPr>
        <w:t xml:space="preserve">krajowym </w:t>
      </w:r>
      <w:r w:rsidRPr="00CD3F12">
        <w:rPr>
          <w:rFonts w:ascii="Poppins" w:hAnsi="Poppins" w:cs="Poppins"/>
          <w:sz w:val="21"/>
          <w:szCs w:val="21"/>
        </w:rPr>
        <w:t xml:space="preserve">segmencie stolarki otworowej, obejmującym okna i drzwi. Jeśli </w:t>
      </w:r>
      <w:r w:rsidR="007D1C5B" w:rsidRPr="00CD3F12">
        <w:rPr>
          <w:rFonts w:ascii="Poppins" w:hAnsi="Poppins" w:cs="Poppins"/>
          <w:sz w:val="21"/>
          <w:szCs w:val="21"/>
        </w:rPr>
        <w:t>zapowiadane</w:t>
      </w:r>
      <w:r w:rsidRPr="00CD3F12">
        <w:rPr>
          <w:rFonts w:ascii="Poppins" w:hAnsi="Poppins" w:cs="Poppins"/>
          <w:sz w:val="21"/>
          <w:szCs w:val="21"/>
        </w:rPr>
        <w:t xml:space="preserve"> cła zostaną wprowadzone,</w:t>
      </w:r>
      <w:r w:rsidR="007D1C5B" w:rsidRPr="00CD3F12">
        <w:rPr>
          <w:rFonts w:ascii="Poppins" w:hAnsi="Poppins" w:cs="Poppins"/>
          <w:sz w:val="21"/>
          <w:szCs w:val="21"/>
        </w:rPr>
        <w:t xml:space="preserve"> nie tylko </w:t>
      </w:r>
      <w:r w:rsidR="00AA6DB4" w:rsidRPr="00CD3F12">
        <w:rPr>
          <w:rFonts w:ascii="Poppins" w:hAnsi="Poppins" w:cs="Poppins"/>
          <w:sz w:val="21"/>
          <w:szCs w:val="21"/>
        </w:rPr>
        <w:t xml:space="preserve">rodzimi </w:t>
      </w:r>
      <w:r w:rsidR="007D1C5B" w:rsidRPr="00CD3F12">
        <w:rPr>
          <w:rFonts w:ascii="Poppins" w:hAnsi="Poppins" w:cs="Poppins"/>
          <w:sz w:val="21"/>
          <w:szCs w:val="21"/>
        </w:rPr>
        <w:t>producenci stolarki budowlanej mogą odczuć w negatywny sposób</w:t>
      </w:r>
      <w:r w:rsidR="00AA6DB4" w:rsidRPr="00CD3F12">
        <w:rPr>
          <w:rFonts w:ascii="Poppins" w:hAnsi="Poppins" w:cs="Poppins"/>
          <w:sz w:val="21"/>
          <w:szCs w:val="21"/>
        </w:rPr>
        <w:t xml:space="preserve"> kolejny kontrowersyjny krok administracji amerykańskiej</w:t>
      </w:r>
      <w:r w:rsidR="007D1C5B" w:rsidRPr="00CD3F12">
        <w:rPr>
          <w:rFonts w:ascii="Poppins" w:hAnsi="Poppins" w:cs="Poppins"/>
          <w:sz w:val="21"/>
          <w:szCs w:val="21"/>
        </w:rPr>
        <w:t>, a</w:t>
      </w:r>
      <w:r w:rsidR="00AA6DB4" w:rsidRPr="00CD3F12">
        <w:rPr>
          <w:rFonts w:ascii="Poppins" w:hAnsi="Poppins" w:cs="Poppins"/>
          <w:sz w:val="21"/>
          <w:szCs w:val="21"/>
        </w:rPr>
        <w:t>le</w:t>
      </w:r>
      <w:r w:rsidR="007D1C5B" w:rsidRPr="00CD3F12">
        <w:rPr>
          <w:rFonts w:ascii="Poppins" w:hAnsi="Poppins" w:cs="Poppins"/>
          <w:sz w:val="21"/>
          <w:szCs w:val="21"/>
        </w:rPr>
        <w:t xml:space="preserve"> </w:t>
      </w:r>
      <w:r w:rsidR="00AA6DB4" w:rsidRPr="00CD3F12">
        <w:rPr>
          <w:rFonts w:ascii="Poppins" w:hAnsi="Poppins" w:cs="Poppins"/>
          <w:sz w:val="21"/>
          <w:szCs w:val="21"/>
        </w:rPr>
        <w:t xml:space="preserve">w </w:t>
      </w:r>
      <w:r w:rsidR="007D1C5B" w:rsidRPr="00CD3F12">
        <w:rPr>
          <w:rFonts w:ascii="Poppins" w:hAnsi="Poppins" w:cs="Poppins"/>
          <w:sz w:val="21"/>
          <w:szCs w:val="21"/>
        </w:rPr>
        <w:t>pośredni</w:t>
      </w:r>
      <w:r w:rsidR="00AA6DB4" w:rsidRPr="00CD3F12">
        <w:rPr>
          <w:rFonts w:ascii="Poppins" w:hAnsi="Poppins" w:cs="Poppins"/>
          <w:sz w:val="21"/>
          <w:szCs w:val="21"/>
        </w:rPr>
        <w:t xml:space="preserve"> sposób także producenci i eksporterzy innych grup towarowych materiałów budowlanych</w:t>
      </w:r>
      <w:r w:rsidR="00413C1F" w:rsidRPr="00CD3F12">
        <w:rPr>
          <w:rFonts w:ascii="Poppins" w:hAnsi="Poppins" w:cs="Poppins"/>
          <w:sz w:val="21"/>
          <w:szCs w:val="21"/>
        </w:rPr>
        <w:t>.</w:t>
      </w:r>
      <w:r w:rsidR="007D1C5B" w:rsidRPr="00CD3F12">
        <w:rPr>
          <w:rFonts w:ascii="Poppins" w:hAnsi="Poppins" w:cs="Poppins"/>
          <w:sz w:val="21"/>
          <w:szCs w:val="21"/>
        </w:rPr>
        <w:t xml:space="preserve"> </w:t>
      </w:r>
    </w:p>
    <w:p w14:paraId="24318747" w14:textId="77777777" w:rsidR="00545611" w:rsidRPr="00CD3F12" w:rsidRDefault="00545611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</w:p>
    <w:p w14:paraId="226DC72D" w14:textId="77777777" w:rsidR="00545611" w:rsidRPr="00CD3F12" w:rsidRDefault="00545611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</w:p>
    <w:p w14:paraId="54BDC119" w14:textId="77777777" w:rsidR="00980C25" w:rsidRPr="00CD3F12" w:rsidRDefault="00980C25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</w:p>
    <w:sectPr w:rsidR="00980C25" w:rsidRPr="00CD3F12" w:rsidSect="00060554">
      <w:headerReference w:type="default" r:id="rId10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F2FBA" w14:textId="77777777" w:rsidR="00EC42D7" w:rsidRDefault="00EC42D7" w:rsidP="00E533BD">
      <w:pPr>
        <w:spacing w:after="0" w:line="240" w:lineRule="auto"/>
      </w:pPr>
      <w:r>
        <w:separator/>
      </w:r>
    </w:p>
  </w:endnote>
  <w:endnote w:type="continuationSeparator" w:id="0">
    <w:p w14:paraId="047B21F6" w14:textId="77777777" w:rsidR="00EC42D7" w:rsidRDefault="00EC42D7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49B0E" w14:textId="77777777" w:rsidR="00EC42D7" w:rsidRDefault="00EC42D7" w:rsidP="00E533BD">
      <w:pPr>
        <w:spacing w:after="0" w:line="240" w:lineRule="auto"/>
      </w:pPr>
      <w:r>
        <w:separator/>
      </w:r>
    </w:p>
  </w:footnote>
  <w:footnote w:type="continuationSeparator" w:id="0">
    <w:p w14:paraId="11B5A312" w14:textId="77777777" w:rsidR="00EC42D7" w:rsidRDefault="00EC42D7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4A08"/>
    <w:multiLevelType w:val="multilevel"/>
    <w:tmpl w:val="363A9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2218E3"/>
    <w:multiLevelType w:val="hybridMultilevel"/>
    <w:tmpl w:val="EE7A4C46"/>
    <w:lvl w:ilvl="0" w:tplc="09B6F5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F4D86"/>
    <w:multiLevelType w:val="multilevel"/>
    <w:tmpl w:val="B24C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0043884">
    <w:abstractNumId w:val="0"/>
  </w:num>
  <w:num w:numId="2" w16cid:durableId="1394499971">
    <w:abstractNumId w:val="2"/>
  </w:num>
  <w:num w:numId="3" w16cid:durableId="102120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10B86"/>
    <w:rsid w:val="00015274"/>
    <w:rsid w:val="00016290"/>
    <w:rsid w:val="0002489E"/>
    <w:rsid w:val="00027E31"/>
    <w:rsid w:val="00044139"/>
    <w:rsid w:val="00056AE5"/>
    <w:rsid w:val="00057F54"/>
    <w:rsid w:val="00060554"/>
    <w:rsid w:val="00071AC1"/>
    <w:rsid w:val="00072860"/>
    <w:rsid w:val="0007769A"/>
    <w:rsid w:val="000A29D3"/>
    <w:rsid w:val="000C2C30"/>
    <w:rsid w:val="000D5D39"/>
    <w:rsid w:val="000F0B92"/>
    <w:rsid w:val="000F3AA4"/>
    <w:rsid w:val="000F51B6"/>
    <w:rsid w:val="000F7670"/>
    <w:rsid w:val="001003CF"/>
    <w:rsid w:val="00103CEB"/>
    <w:rsid w:val="001043A3"/>
    <w:rsid w:val="00106C6C"/>
    <w:rsid w:val="00123BF3"/>
    <w:rsid w:val="001467D0"/>
    <w:rsid w:val="00160B41"/>
    <w:rsid w:val="00171955"/>
    <w:rsid w:val="001721B4"/>
    <w:rsid w:val="00176DE5"/>
    <w:rsid w:val="00182A25"/>
    <w:rsid w:val="0018306C"/>
    <w:rsid w:val="00184ECE"/>
    <w:rsid w:val="00193531"/>
    <w:rsid w:val="00194693"/>
    <w:rsid w:val="001C3E2E"/>
    <w:rsid w:val="001D2AA4"/>
    <w:rsid w:val="001D2BE7"/>
    <w:rsid w:val="002062BD"/>
    <w:rsid w:val="002163A3"/>
    <w:rsid w:val="00221624"/>
    <w:rsid w:val="00226E77"/>
    <w:rsid w:val="00232CED"/>
    <w:rsid w:val="002379C7"/>
    <w:rsid w:val="00255A24"/>
    <w:rsid w:val="002565D9"/>
    <w:rsid w:val="0027120F"/>
    <w:rsid w:val="00272E12"/>
    <w:rsid w:val="002743F5"/>
    <w:rsid w:val="00293F01"/>
    <w:rsid w:val="002A6046"/>
    <w:rsid w:val="002B2E52"/>
    <w:rsid w:val="002B6105"/>
    <w:rsid w:val="002C3A0A"/>
    <w:rsid w:val="002E6753"/>
    <w:rsid w:val="0030376C"/>
    <w:rsid w:val="00312511"/>
    <w:rsid w:val="0032038B"/>
    <w:rsid w:val="00320CFA"/>
    <w:rsid w:val="00331728"/>
    <w:rsid w:val="00332577"/>
    <w:rsid w:val="0034109F"/>
    <w:rsid w:val="00357FA7"/>
    <w:rsid w:val="00360B53"/>
    <w:rsid w:val="00366950"/>
    <w:rsid w:val="00367682"/>
    <w:rsid w:val="0036796F"/>
    <w:rsid w:val="00370F36"/>
    <w:rsid w:val="00382D22"/>
    <w:rsid w:val="00383EEE"/>
    <w:rsid w:val="0039417A"/>
    <w:rsid w:val="003A61D7"/>
    <w:rsid w:val="003C74F0"/>
    <w:rsid w:val="003D28BE"/>
    <w:rsid w:val="003E024A"/>
    <w:rsid w:val="003E3911"/>
    <w:rsid w:val="003F4D95"/>
    <w:rsid w:val="004069F6"/>
    <w:rsid w:val="00413C1F"/>
    <w:rsid w:val="00414F41"/>
    <w:rsid w:val="00415CFE"/>
    <w:rsid w:val="00442EBD"/>
    <w:rsid w:val="00445E56"/>
    <w:rsid w:val="0045420A"/>
    <w:rsid w:val="00456757"/>
    <w:rsid w:val="0046256F"/>
    <w:rsid w:val="00471D4D"/>
    <w:rsid w:val="00482A60"/>
    <w:rsid w:val="004A2589"/>
    <w:rsid w:val="004B347E"/>
    <w:rsid w:val="004B34BB"/>
    <w:rsid w:val="004C322E"/>
    <w:rsid w:val="004C4395"/>
    <w:rsid w:val="004C5777"/>
    <w:rsid w:val="004F453C"/>
    <w:rsid w:val="00504683"/>
    <w:rsid w:val="005054D6"/>
    <w:rsid w:val="00507867"/>
    <w:rsid w:val="00507B27"/>
    <w:rsid w:val="005161BA"/>
    <w:rsid w:val="0052593E"/>
    <w:rsid w:val="005329D7"/>
    <w:rsid w:val="0054268E"/>
    <w:rsid w:val="005428ED"/>
    <w:rsid w:val="00542D69"/>
    <w:rsid w:val="00545611"/>
    <w:rsid w:val="00553612"/>
    <w:rsid w:val="00553875"/>
    <w:rsid w:val="00556268"/>
    <w:rsid w:val="00562815"/>
    <w:rsid w:val="005641A0"/>
    <w:rsid w:val="00565B3F"/>
    <w:rsid w:val="00571D71"/>
    <w:rsid w:val="005756AC"/>
    <w:rsid w:val="0057620E"/>
    <w:rsid w:val="005767EF"/>
    <w:rsid w:val="00581858"/>
    <w:rsid w:val="00591996"/>
    <w:rsid w:val="005920C9"/>
    <w:rsid w:val="00595106"/>
    <w:rsid w:val="00597EB4"/>
    <w:rsid w:val="005A171E"/>
    <w:rsid w:val="005A318B"/>
    <w:rsid w:val="005A5BE8"/>
    <w:rsid w:val="005B4A77"/>
    <w:rsid w:val="005B6EC7"/>
    <w:rsid w:val="005D03E9"/>
    <w:rsid w:val="005D149B"/>
    <w:rsid w:val="005D60E5"/>
    <w:rsid w:val="005E154B"/>
    <w:rsid w:val="005E364A"/>
    <w:rsid w:val="005F5887"/>
    <w:rsid w:val="006170B5"/>
    <w:rsid w:val="0065062C"/>
    <w:rsid w:val="00655E69"/>
    <w:rsid w:val="006575E9"/>
    <w:rsid w:val="0066231E"/>
    <w:rsid w:val="006902AE"/>
    <w:rsid w:val="00693D0A"/>
    <w:rsid w:val="006A6C3D"/>
    <w:rsid w:val="006B57CA"/>
    <w:rsid w:val="006B63E5"/>
    <w:rsid w:val="006C07E3"/>
    <w:rsid w:val="006D1A53"/>
    <w:rsid w:val="006D638E"/>
    <w:rsid w:val="006E144D"/>
    <w:rsid w:val="006E194D"/>
    <w:rsid w:val="006F0A66"/>
    <w:rsid w:val="006F1831"/>
    <w:rsid w:val="007124B4"/>
    <w:rsid w:val="0071427E"/>
    <w:rsid w:val="007465BD"/>
    <w:rsid w:val="007738A9"/>
    <w:rsid w:val="00782C3E"/>
    <w:rsid w:val="00793B7D"/>
    <w:rsid w:val="007955FF"/>
    <w:rsid w:val="007A6B21"/>
    <w:rsid w:val="007D1C5B"/>
    <w:rsid w:val="007D2716"/>
    <w:rsid w:val="007E3768"/>
    <w:rsid w:val="00801EEA"/>
    <w:rsid w:val="00804FCD"/>
    <w:rsid w:val="00825AD9"/>
    <w:rsid w:val="008265FD"/>
    <w:rsid w:val="00836B91"/>
    <w:rsid w:val="0084394C"/>
    <w:rsid w:val="00855A73"/>
    <w:rsid w:val="00861581"/>
    <w:rsid w:val="008847A8"/>
    <w:rsid w:val="00884A9A"/>
    <w:rsid w:val="008903F0"/>
    <w:rsid w:val="008A0725"/>
    <w:rsid w:val="008A109B"/>
    <w:rsid w:val="008A7207"/>
    <w:rsid w:val="008C4684"/>
    <w:rsid w:val="008C55BD"/>
    <w:rsid w:val="008D612D"/>
    <w:rsid w:val="008D750B"/>
    <w:rsid w:val="008E239F"/>
    <w:rsid w:val="008F61F4"/>
    <w:rsid w:val="008F7B1C"/>
    <w:rsid w:val="0091278B"/>
    <w:rsid w:val="009232E8"/>
    <w:rsid w:val="009325A0"/>
    <w:rsid w:val="0093718E"/>
    <w:rsid w:val="00964073"/>
    <w:rsid w:val="00967D21"/>
    <w:rsid w:val="0097467B"/>
    <w:rsid w:val="00980C25"/>
    <w:rsid w:val="0098135A"/>
    <w:rsid w:val="0098184C"/>
    <w:rsid w:val="0098333B"/>
    <w:rsid w:val="00990AA6"/>
    <w:rsid w:val="009A324B"/>
    <w:rsid w:val="009A3D85"/>
    <w:rsid w:val="009A4AA4"/>
    <w:rsid w:val="009B37BF"/>
    <w:rsid w:val="009C0ACF"/>
    <w:rsid w:val="009C2310"/>
    <w:rsid w:val="009C234B"/>
    <w:rsid w:val="009C44C2"/>
    <w:rsid w:val="009D1EA9"/>
    <w:rsid w:val="00A0126E"/>
    <w:rsid w:val="00A03012"/>
    <w:rsid w:val="00A135FE"/>
    <w:rsid w:val="00A17D1B"/>
    <w:rsid w:val="00A24093"/>
    <w:rsid w:val="00A24645"/>
    <w:rsid w:val="00A4731E"/>
    <w:rsid w:val="00A547BE"/>
    <w:rsid w:val="00A56598"/>
    <w:rsid w:val="00A64C0A"/>
    <w:rsid w:val="00A65F08"/>
    <w:rsid w:val="00A74FA9"/>
    <w:rsid w:val="00A85C7B"/>
    <w:rsid w:val="00A90FB0"/>
    <w:rsid w:val="00AA6DB4"/>
    <w:rsid w:val="00AB7B01"/>
    <w:rsid w:val="00AD0B83"/>
    <w:rsid w:val="00AD626F"/>
    <w:rsid w:val="00AF5A96"/>
    <w:rsid w:val="00B141B2"/>
    <w:rsid w:val="00B17444"/>
    <w:rsid w:val="00B334C3"/>
    <w:rsid w:val="00B33F85"/>
    <w:rsid w:val="00B42848"/>
    <w:rsid w:val="00B430F1"/>
    <w:rsid w:val="00B44BB6"/>
    <w:rsid w:val="00B46237"/>
    <w:rsid w:val="00B5353F"/>
    <w:rsid w:val="00B63867"/>
    <w:rsid w:val="00B6641D"/>
    <w:rsid w:val="00B675F4"/>
    <w:rsid w:val="00B75BD0"/>
    <w:rsid w:val="00B90C5F"/>
    <w:rsid w:val="00B95EC5"/>
    <w:rsid w:val="00BA1EA1"/>
    <w:rsid w:val="00BA48E5"/>
    <w:rsid w:val="00BA4AE2"/>
    <w:rsid w:val="00BB4016"/>
    <w:rsid w:val="00BD2F4F"/>
    <w:rsid w:val="00BE548A"/>
    <w:rsid w:val="00BE734D"/>
    <w:rsid w:val="00BE7A24"/>
    <w:rsid w:val="00BF1B14"/>
    <w:rsid w:val="00BF285E"/>
    <w:rsid w:val="00BF2F46"/>
    <w:rsid w:val="00BF4C0B"/>
    <w:rsid w:val="00BF6DC6"/>
    <w:rsid w:val="00C00489"/>
    <w:rsid w:val="00C05921"/>
    <w:rsid w:val="00C12248"/>
    <w:rsid w:val="00C35B7E"/>
    <w:rsid w:val="00C50A12"/>
    <w:rsid w:val="00C7467E"/>
    <w:rsid w:val="00C82746"/>
    <w:rsid w:val="00CA33AD"/>
    <w:rsid w:val="00CA417C"/>
    <w:rsid w:val="00CB7C00"/>
    <w:rsid w:val="00CC024E"/>
    <w:rsid w:val="00CC0693"/>
    <w:rsid w:val="00CC5797"/>
    <w:rsid w:val="00CD15B5"/>
    <w:rsid w:val="00CD3F12"/>
    <w:rsid w:val="00CF036B"/>
    <w:rsid w:val="00CF3EF4"/>
    <w:rsid w:val="00D061AE"/>
    <w:rsid w:val="00D1044B"/>
    <w:rsid w:val="00D21433"/>
    <w:rsid w:val="00D3042F"/>
    <w:rsid w:val="00D320B2"/>
    <w:rsid w:val="00D3312D"/>
    <w:rsid w:val="00D40187"/>
    <w:rsid w:val="00D455CB"/>
    <w:rsid w:val="00D54A80"/>
    <w:rsid w:val="00D54F27"/>
    <w:rsid w:val="00D56A8C"/>
    <w:rsid w:val="00D61344"/>
    <w:rsid w:val="00D61549"/>
    <w:rsid w:val="00D67FE6"/>
    <w:rsid w:val="00D74D45"/>
    <w:rsid w:val="00D764E5"/>
    <w:rsid w:val="00DA0E39"/>
    <w:rsid w:val="00DA494D"/>
    <w:rsid w:val="00DA72F4"/>
    <w:rsid w:val="00DA7D8F"/>
    <w:rsid w:val="00DB2751"/>
    <w:rsid w:val="00DB60A0"/>
    <w:rsid w:val="00DB639D"/>
    <w:rsid w:val="00DC1870"/>
    <w:rsid w:val="00DD42EE"/>
    <w:rsid w:val="00DD57D9"/>
    <w:rsid w:val="00DD6A44"/>
    <w:rsid w:val="00DE1753"/>
    <w:rsid w:val="00DF07FB"/>
    <w:rsid w:val="00E12093"/>
    <w:rsid w:val="00E25AAC"/>
    <w:rsid w:val="00E32A58"/>
    <w:rsid w:val="00E32F03"/>
    <w:rsid w:val="00E35B28"/>
    <w:rsid w:val="00E3719E"/>
    <w:rsid w:val="00E440F2"/>
    <w:rsid w:val="00E533BD"/>
    <w:rsid w:val="00E64272"/>
    <w:rsid w:val="00E73303"/>
    <w:rsid w:val="00E84E26"/>
    <w:rsid w:val="00EA18AB"/>
    <w:rsid w:val="00EA269B"/>
    <w:rsid w:val="00EC10B9"/>
    <w:rsid w:val="00EC3714"/>
    <w:rsid w:val="00EC42D7"/>
    <w:rsid w:val="00EC5BB4"/>
    <w:rsid w:val="00EC78B9"/>
    <w:rsid w:val="00ED61B2"/>
    <w:rsid w:val="00ED6CE9"/>
    <w:rsid w:val="00ED7A96"/>
    <w:rsid w:val="00EE00BB"/>
    <w:rsid w:val="00EE5EF2"/>
    <w:rsid w:val="00EF2044"/>
    <w:rsid w:val="00F06678"/>
    <w:rsid w:val="00F20400"/>
    <w:rsid w:val="00F21411"/>
    <w:rsid w:val="00F22FB4"/>
    <w:rsid w:val="00F2311C"/>
    <w:rsid w:val="00F27BE9"/>
    <w:rsid w:val="00F368D5"/>
    <w:rsid w:val="00F52BC1"/>
    <w:rsid w:val="00F60C6C"/>
    <w:rsid w:val="00F658E2"/>
    <w:rsid w:val="00F71098"/>
    <w:rsid w:val="00F74C4F"/>
    <w:rsid w:val="00F77822"/>
    <w:rsid w:val="00F9538E"/>
    <w:rsid w:val="00F97168"/>
    <w:rsid w:val="00FA12A3"/>
    <w:rsid w:val="00FA42CC"/>
    <w:rsid w:val="00FB1774"/>
    <w:rsid w:val="00FB7A20"/>
    <w:rsid w:val="00FC666B"/>
    <w:rsid w:val="00FD5C22"/>
    <w:rsid w:val="00FF1AE0"/>
    <w:rsid w:val="00FF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67D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43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2</cp:revision>
  <cp:lastPrinted>2022-08-09T11:51:00Z</cp:lastPrinted>
  <dcterms:created xsi:type="dcterms:W3CDTF">2025-05-27T14:53:00Z</dcterms:created>
  <dcterms:modified xsi:type="dcterms:W3CDTF">2025-05-27T14:53:00Z</dcterms:modified>
</cp:coreProperties>
</file>